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o nas głośno!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o nas głośno!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program stażowy działa do 2020 roku. W tym czasie zaprosiliśmy do współpracy ok. 60 stażystów z całego świata.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budowaniu międzynarodowych zespołów, a także wypowiedzi naszych ekspertów ? Monika Kikolska, DamianNikiel znajdziesz m.in. na HRstandard.pl, Magazyn Rekruter cz.info.pl, Lady Business Club GoldenLine, Mobile Trends manager24.pl, Strefa Biznesu Wielkopolska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Znów o nas głośno! ?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24"/>
          <w:szCs w:val="24"/>
        </w:rPr>
        <w:t xml:space="preserve">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24"/>
          <w:szCs w:val="24"/>
        </w:rPr>
        <w:t xml:space="preserve">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24"/>
          <w:szCs w:val="24"/>
        </w:rPr>
        <w:t xml:space="preserve">Nasz program stażowy działa do 2020 roku. W tym czasie zaprosiliśmy do współpracy ok. 60 stażystów z całego świata.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budowaniu międzynarodowych zespołów, a także wypowiedzi naszych ekspertów ? Monika Kikolska, DamianNikiel znajdziesz m.in. na HRstandard.pl, Magazyn Rekruter cz.info.pl, Lady Business Club GoldenLine, Mobile Trends manager24.pl, Strefa Biznesu Wielkopolska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2026-05-30T11:59:32+02:00</dcterms:created>
  <dcterms:modified xsi:type="dcterms:W3CDTF">2026-05-30T11:59:32+02:00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