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⚠️Bounce rate może nieźle namieszać, szczególnie u tych właścicieli witryn, którzy nie mają pełnej wiedzy o tym, jak go interpretować.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⚠️Bounce rate może nieźle namieszać, szczególnie u tych właścicieli witryn, którzy nie mają pełnej wiedzy o tym, jak go interpretować.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‼️Sprawdź czy Ty dobrze odczytujesz ten wskaźnik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 nowy artykuł w naszej Bazie Wiedzy ⤵️⤵️⤵️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⚠️Bounce rate może nieźle namieszać, szczególnie u tych właścicieli witryn, którzy nie mają pełnej wiedzy o tym, jak go interpretować.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‼️Sprawdź czy Ty dobrze odczytujesz ten wskaźnik ??</w:t>
      </w:r>
    </w:p>
    <w:p>
      <w:r>
        <w:rPr>
          <w:rFonts w:ascii="calibri" w:hAnsi="calibri" w:eastAsia="calibri" w:cs="calibri"/>
          <w:sz w:val="24"/>
          <w:szCs w:val="24"/>
        </w:rPr>
        <w:t xml:space="preserve">Przeczytaj nowy artykuł w naszej Bazie Wiedzy ⤵️⤵️⤵️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2026-09-23T14:17:05+02:00</dcterms:created>
  <dcterms:modified xsi:type="dcterms:W3CDTF">2026-09-23T14:17:05+02:00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