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⚠️Bounce rate może nieźle namieszać, szczególnie u tych właścicieli witryn, którzy nie mają pełnej wiedzy o tym, jak go interpretować.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⚠️Bounce rate może nieźle namieszać, szczególnie u tych właścicieli witryn, którzy nie mają pełnej wiedzy o tym, jak go interpretować.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‼️Sprawdź czy Ty dobrze odczytujesz ten wskaźnik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Przeczytaj nowy artykuł w naszej Bazie Wiedzy ⤵️⤵️⤵️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⚠️Bounce rate może nieźle namieszać, szczególnie u tych właścicieli witryn, którzy nie mają pełnej wiedzy o tym, jak go interpretować.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‼️Sprawdź czy Ty dobrze odczytujesz ten wskaźnik ??</w:t>
      </w:r>
    </w:p>
    <w:p>
      <w:r>
        <w:rPr>
          <w:rFonts w:ascii="calibri" w:hAnsi="calibri" w:eastAsia="calibri" w:cs="calibri"/>
          <w:sz w:val="24"/>
          <w:szCs w:val="24"/>
        </w:rPr>
        <w:t xml:space="preserve">Przeczytaj nowy artykuł w naszej Bazie Wiedzy ⤵️⤵️⤵️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2025-12-27T04:24:45+01:00</dcterms:created>
  <dcterms:modified xsi:type="dcterms:W3CDTF">2025-12-27T04:24:45+01:00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